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D40950" w:rsidRDefault="00766597" w:rsidP="004A24AA">
      <w:pPr>
        <w:pStyle w:val="a5"/>
        <w:spacing w:before="0" w:after="0"/>
        <w:rPr>
          <w:rFonts w:hint="eastAsia"/>
          <w:lang w:val="ru-RU"/>
        </w:rPr>
      </w:pPr>
      <w:bookmarkStart w:id="0" w:name="_GoBack"/>
      <w:bookmarkEnd w:id="0"/>
      <w:proofErr w:type="gramStart"/>
      <w:r w:rsidRPr="00D40950">
        <w:rPr>
          <w:sz w:val="20"/>
          <w:szCs w:val="28"/>
          <w:lang w:val="en-US"/>
        </w:rPr>
        <w:t>v</w:t>
      </w:r>
      <w:r w:rsidR="004A24AA" w:rsidRPr="00D40950">
        <w:rPr>
          <w:sz w:val="20"/>
          <w:szCs w:val="28"/>
        </w:rPr>
        <w:t>-</w:t>
      </w:r>
      <w:proofErr w:type="spellStart"/>
      <w:r w:rsidR="004A24AA" w:rsidRPr="00D40950">
        <w:rPr>
          <w:sz w:val="20"/>
          <w:szCs w:val="28"/>
          <w:lang w:val="en-US"/>
        </w:rPr>
        <w:t>fk</w:t>
      </w:r>
      <w:proofErr w:type="spellEnd"/>
      <w:r w:rsidR="0022659C" w:rsidRPr="00D40950">
        <w:rPr>
          <w:sz w:val="20"/>
          <w:szCs w:val="28"/>
        </w:rPr>
        <w:t>-</w:t>
      </w:r>
      <w:r w:rsidR="00D52BF2">
        <w:rPr>
          <w:sz w:val="20"/>
          <w:szCs w:val="28"/>
          <w:lang w:val="ru-RU"/>
        </w:rPr>
        <w:t>08</w:t>
      </w:r>
      <w:r w:rsidR="0051730B" w:rsidRPr="00D40950">
        <w:rPr>
          <w:sz w:val="20"/>
          <w:szCs w:val="28"/>
          <w:lang w:val="ru-RU"/>
        </w:rPr>
        <w:t>1</w:t>
      </w:r>
      <w:proofErr w:type="gramEnd"/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66597" w:rsidRPr="00D40950" w:rsidRDefault="0076659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D40950">
        <w:rPr>
          <w:szCs w:val="28"/>
        </w:rPr>
        <w:t xml:space="preserve">Про визначення </w:t>
      </w:r>
      <w:r w:rsidR="00676F22" w:rsidRPr="00D40950">
        <w:rPr>
          <w:szCs w:val="28"/>
        </w:rPr>
        <w:t>набувача</w:t>
      </w:r>
      <w:r w:rsidRPr="00D40950">
        <w:rPr>
          <w:szCs w:val="28"/>
        </w:rPr>
        <w:t xml:space="preserve"> </w:t>
      </w:r>
      <w:r w:rsidR="00DA527B" w:rsidRPr="00D40950">
        <w:rPr>
          <w:szCs w:val="28"/>
        </w:rPr>
        <w:t xml:space="preserve">гуманітарної </w:t>
      </w:r>
      <w:r w:rsidRPr="00D40950">
        <w:rPr>
          <w:szCs w:val="28"/>
        </w:rPr>
        <w:t xml:space="preserve"> </w:t>
      </w:r>
    </w:p>
    <w:p w:rsidR="00F60177" w:rsidRPr="00D40950" w:rsidRDefault="00F6017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D40950">
        <w:rPr>
          <w:szCs w:val="28"/>
        </w:rPr>
        <w:t>допомоги між</w:t>
      </w:r>
      <w:r w:rsidR="00766597" w:rsidRPr="00D40950">
        <w:rPr>
          <w:szCs w:val="28"/>
        </w:rPr>
        <w:t xml:space="preserve"> комунальними </w:t>
      </w:r>
    </w:p>
    <w:p w:rsidR="00493BA0" w:rsidRPr="00D40950" w:rsidRDefault="00F60177" w:rsidP="00493BA0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 w:rsidRPr="00D40950">
        <w:rPr>
          <w:szCs w:val="28"/>
        </w:rPr>
        <w:t>підприємствами</w:t>
      </w:r>
      <w:r w:rsidR="00766597" w:rsidRPr="00D40950">
        <w:rPr>
          <w:szCs w:val="28"/>
        </w:rPr>
        <w:t xml:space="preserve"> Миколаївської міської ради</w:t>
      </w:r>
      <w:r w:rsidR="00766597" w:rsidRPr="00D40950">
        <w:rPr>
          <w:color w:val="000000"/>
          <w:szCs w:val="28"/>
        </w:rPr>
        <w:t xml:space="preserve"> </w:t>
      </w:r>
    </w:p>
    <w:p w:rsidR="00C3571C" w:rsidRPr="00D40950" w:rsidRDefault="003F763D" w:rsidP="00493BA0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 w:rsidRPr="00D40950">
        <w:rPr>
          <w:color w:val="000000"/>
          <w:szCs w:val="28"/>
        </w:rPr>
        <w:t xml:space="preserve">від </w:t>
      </w:r>
      <w:bookmarkStart w:id="1" w:name="_Hlk113897262"/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</w:t>
      </w:r>
    </w:p>
    <w:p w:rsidR="005E6560" w:rsidRPr="00D40950" w:rsidRDefault="0051730B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D40950">
        <w:rPr>
          <w:color w:val="000000"/>
          <w:szCs w:val="28"/>
        </w:rPr>
        <w:t>«Демократичне врядування у Східній Україні»</w:t>
      </w:r>
    </w:p>
    <w:bookmarkEnd w:id="1"/>
    <w:p w:rsidR="005E6560" w:rsidRPr="00D40950" w:rsidRDefault="005E6560" w:rsidP="00F014D9">
      <w:pPr>
        <w:jc w:val="both"/>
        <w:rPr>
          <w:color w:val="000000"/>
          <w:szCs w:val="28"/>
        </w:rPr>
      </w:pPr>
    </w:p>
    <w:p w:rsidR="00262CDB" w:rsidRPr="00D40950" w:rsidRDefault="00262CDB" w:rsidP="00134508">
      <w:pPr>
        <w:ind w:firstLine="567"/>
        <w:jc w:val="both"/>
        <w:rPr>
          <w:color w:val="000000"/>
          <w:szCs w:val="28"/>
        </w:rPr>
      </w:pPr>
      <w:r w:rsidRPr="00D40950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D40950">
        <w:rPr>
          <w:color w:val="000000"/>
          <w:szCs w:val="28"/>
        </w:rPr>
        <w:t>гуманітарної</w:t>
      </w:r>
      <w:r w:rsidRPr="00D40950">
        <w:rPr>
          <w:color w:val="000000"/>
          <w:szCs w:val="28"/>
        </w:rPr>
        <w:t xml:space="preserve"> допомоги для Миколаївської мі</w:t>
      </w:r>
      <w:r w:rsidR="00292A7B" w:rsidRPr="00D40950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Pr="00D40950">
        <w:rPr>
          <w:color w:val="000000"/>
          <w:szCs w:val="28"/>
        </w:rPr>
        <w:t>,</w:t>
      </w:r>
      <w:r w:rsidR="00F4186C" w:rsidRPr="00D40950">
        <w:rPr>
          <w:color w:val="000000"/>
          <w:szCs w:val="28"/>
        </w:rPr>
        <w:t xml:space="preserve"> </w:t>
      </w:r>
      <w:r w:rsidR="00DE5F3B" w:rsidRPr="00D40950">
        <w:rPr>
          <w:color w:val="000000"/>
          <w:szCs w:val="28"/>
        </w:rPr>
        <w:t>враховуючи</w:t>
      </w:r>
      <w:r w:rsidR="0051730B" w:rsidRPr="00D40950">
        <w:rPr>
          <w:color w:val="000000"/>
          <w:szCs w:val="28"/>
        </w:rPr>
        <w:t xml:space="preserve"> Меморандум про </w:t>
      </w:r>
      <w:proofErr w:type="spellStart"/>
      <w:r w:rsidR="0051730B" w:rsidRPr="00D40950">
        <w:rPr>
          <w:color w:val="000000"/>
          <w:szCs w:val="28"/>
        </w:rPr>
        <w:t>взаємопорозуміння</w:t>
      </w:r>
      <w:proofErr w:type="spellEnd"/>
      <w:r w:rsidR="0051730B" w:rsidRPr="00D40950">
        <w:rPr>
          <w:color w:val="000000"/>
          <w:szCs w:val="28"/>
        </w:rPr>
        <w:t xml:space="preserve"> щодо надання технічної допомоги, укладений між компанією </w:t>
      </w:r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«Демократичне врядування у Східній Україні» та Ми</w:t>
      </w:r>
      <w:r w:rsidR="00D52BF2">
        <w:rPr>
          <w:color w:val="000000"/>
          <w:szCs w:val="28"/>
        </w:rPr>
        <w:t>колаївською міською радою від 0</w:t>
      </w:r>
      <w:r w:rsidR="00D52BF2" w:rsidRPr="00D52BF2">
        <w:rPr>
          <w:color w:val="000000"/>
          <w:szCs w:val="28"/>
        </w:rPr>
        <w:t>4</w:t>
      </w:r>
      <w:r w:rsidR="0051730B" w:rsidRPr="00D40950">
        <w:rPr>
          <w:color w:val="000000"/>
          <w:szCs w:val="28"/>
        </w:rPr>
        <w:t>.04.2022,</w:t>
      </w:r>
      <w:r w:rsidR="00116DF6" w:rsidRPr="00D40950">
        <w:rPr>
          <w:color w:val="000000"/>
          <w:szCs w:val="28"/>
        </w:rPr>
        <w:t xml:space="preserve"> акти приймання</w:t>
      </w:r>
      <w:r w:rsidR="00530DF5">
        <w:rPr>
          <w:color w:val="000000"/>
          <w:szCs w:val="28"/>
        </w:rPr>
        <w:t>-</w:t>
      </w:r>
      <w:r w:rsidR="00116DF6" w:rsidRPr="00D40950">
        <w:rPr>
          <w:color w:val="000000"/>
          <w:szCs w:val="28"/>
        </w:rPr>
        <w:t>передачі</w:t>
      </w:r>
      <w:r w:rsidR="00DE5F3B" w:rsidRPr="00D40950">
        <w:rPr>
          <w:color w:val="000000"/>
          <w:szCs w:val="28"/>
        </w:rPr>
        <w:t xml:space="preserve"> гуманітарної допомоги</w:t>
      </w:r>
      <w:r w:rsidR="00042529" w:rsidRPr="00D40950">
        <w:rPr>
          <w:color w:val="000000"/>
          <w:szCs w:val="28"/>
        </w:rPr>
        <w:t>,</w:t>
      </w:r>
      <w:r w:rsidR="00DE5F3B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 xml:space="preserve">відповідно до </w:t>
      </w:r>
      <w:r w:rsidR="00493BA0" w:rsidRPr="00D40950">
        <w:rPr>
          <w:color w:val="000000"/>
          <w:szCs w:val="28"/>
        </w:rPr>
        <w:t>Закону України «Про гуманітарну допомогу»</w:t>
      </w:r>
      <w:r w:rsidRPr="00D40950">
        <w:rPr>
          <w:color w:val="000000"/>
          <w:szCs w:val="28"/>
        </w:rPr>
        <w:t xml:space="preserve">, 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рішення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 xml:space="preserve"> Миколаївської</w:t>
      </w:r>
      <w:r w:rsidR="00134508" w:rsidRPr="00D40950">
        <w:rPr>
          <w:color w:val="000000"/>
          <w:szCs w:val="28"/>
        </w:rPr>
        <w:t xml:space="preserve">  </w:t>
      </w:r>
      <w:r w:rsidRPr="00D40950">
        <w:rPr>
          <w:color w:val="000000"/>
          <w:szCs w:val="28"/>
        </w:rPr>
        <w:t xml:space="preserve">міської 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ради від 08.09.2022 № 14/59 «</w:t>
      </w:r>
      <w:r w:rsidRPr="00D40950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40950"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 w:rsidR="00262CDB" w:rsidRPr="00D40950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D40950" w:rsidRDefault="00262CDB" w:rsidP="00262CDB">
      <w:pPr>
        <w:jc w:val="both"/>
        <w:rPr>
          <w:szCs w:val="28"/>
        </w:rPr>
      </w:pPr>
      <w:r w:rsidRPr="00D40950">
        <w:rPr>
          <w:color w:val="000000"/>
          <w:szCs w:val="28"/>
        </w:rPr>
        <w:t>ВИРІШИВ:</w:t>
      </w:r>
    </w:p>
    <w:p w:rsidR="00262CDB" w:rsidRPr="00D40950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D40950" w:rsidRDefault="00B26F75" w:rsidP="00832272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40950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51730B" w:rsidRPr="00D40950"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 w:rsidR="00D52BF2" w:rsidRPr="00D52BF2">
        <w:rPr>
          <w:rFonts w:eastAsia="Calibri"/>
          <w:color w:val="000000"/>
          <w:spacing w:val="-2"/>
          <w:kern w:val="1"/>
          <w:szCs w:val="28"/>
        </w:rPr>
        <w:t>КП «</w:t>
      </w:r>
      <w:r w:rsidR="00D52BF2">
        <w:rPr>
          <w:rFonts w:eastAsia="Calibri"/>
          <w:color w:val="000000"/>
          <w:spacing w:val="-2"/>
          <w:kern w:val="1"/>
          <w:szCs w:val="28"/>
        </w:rPr>
        <w:t>Міський інформаційно-обчислювальний центр»</w:t>
      </w:r>
      <w:r w:rsidR="00F4186C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F4186C" w:rsidRPr="00D40950">
        <w:rPr>
          <w:color w:val="1F1F1F"/>
          <w:szCs w:val="28"/>
          <w:shd w:val="clear" w:color="auto" w:fill="FFFFFF"/>
        </w:rPr>
        <w:t xml:space="preserve">(код ЄДРПОУ </w:t>
      </w:r>
      <w:r w:rsidR="00D52BF2" w:rsidRPr="00D52BF2">
        <w:rPr>
          <w:rFonts w:eastAsia="Calibri"/>
          <w:color w:val="000000"/>
          <w:spacing w:val="-2"/>
          <w:kern w:val="1"/>
          <w:szCs w:val="28"/>
        </w:rPr>
        <w:t>31554081</w:t>
      </w:r>
      <w:r w:rsidR="00F4186C" w:rsidRPr="00D40950">
        <w:rPr>
          <w:rFonts w:eastAsia="Calibri"/>
          <w:color w:val="000000"/>
          <w:spacing w:val="-2"/>
          <w:kern w:val="1"/>
          <w:szCs w:val="28"/>
        </w:rPr>
        <w:t xml:space="preserve">) набувачем прийнятої до комунальної власності Миколаївської міської територіальної громади гуманітарної допомоги від </w:t>
      </w:r>
      <w:proofErr w:type="spellStart"/>
      <w:r w:rsidR="00B267BC" w:rsidRPr="00D40950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B267BC" w:rsidRPr="00D40950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</w:t>
      </w:r>
      <w:r w:rsidR="003664B0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B40CF2">
        <w:rPr>
          <w:rFonts w:eastAsia="Calibri"/>
          <w:color w:val="000000"/>
          <w:spacing w:val="-2"/>
          <w:kern w:val="1"/>
          <w:szCs w:val="28"/>
        </w:rPr>
        <w:t>(додається)</w:t>
      </w:r>
      <w:r w:rsidR="001754DB" w:rsidRPr="000A247A">
        <w:rPr>
          <w:rFonts w:eastAsia="Calibri"/>
          <w:color w:val="000000"/>
          <w:spacing w:val="-2"/>
          <w:kern w:val="1"/>
          <w:szCs w:val="28"/>
        </w:rPr>
        <w:t>.</w:t>
      </w:r>
      <w:r w:rsidR="0058441C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p w:rsidR="00F4186C" w:rsidRPr="00D40950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40950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D40950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D40950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</w:t>
      </w:r>
      <w:r w:rsidR="00832272" w:rsidRPr="00D40950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Pr="00D40950"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 w:rsidR="00262CDB" w:rsidRPr="00D40950" w:rsidRDefault="00B267BC" w:rsidP="00832272">
      <w:pPr>
        <w:ind w:firstLine="567"/>
        <w:jc w:val="both"/>
        <w:rPr>
          <w:szCs w:val="24"/>
        </w:rPr>
      </w:pPr>
      <w:r w:rsidRPr="00D40950">
        <w:rPr>
          <w:szCs w:val="24"/>
          <w:lang w:val="ru-RU"/>
        </w:rPr>
        <w:t>3</w:t>
      </w:r>
      <w:r w:rsidR="00262CDB" w:rsidRPr="00D40950">
        <w:rPr>
          <w:szCs w:val="24"/>
        </w:rPr>
        <w:t>. Контроль за виконанням</w:t>
      </w:r>
      <w:r w:rsidR="007266F5" w:rsidRPr="00D40950">
        <w:rPr>
          <w:szCs w:val="24"/>
        </w:rPr>
        <w:t xml:space="preserve"> даного</w:t>
      </w:r>
      <w:r w:rsidR="00262CDB" w:rsidRPr="00D40950">
        <w:rPr>
          <w:szCs w:val="24"/>
        </w:rPr>
        <w:t xml:space="preserve"> рішення</w:t>
      </w:r>
      <w:r w:rsidR="007266F5" w:rsidRPr="00D40950">
        <w:rPr>
          <w:szCs w:val="24"/>
        </w:rPr>
        <w:t xml:space="preserve"> покласти на</w:t>
      </w:r>
      <w:r w:rsidR="00262CDB" w:rsidRPr="00D40950">
        <w:rPr>
          <w:szCs w:val="24"/>
        </w:rPr>
        <w:t xml:space="preserve"> першого заступника міського голови  </w:t>
      </w:r>
      <w:proofErr w:type="spellStart"/>
      <w:r w:rsidR="00262CDB" w:rsidRPr="00D40950">
        <w:rPr>
          <w:szCs w:val="24"/>
        </w:rPr>
        <w:t>Лукова</w:t>
      </w:r>
      <w:proofErr w:type="spellEnd"/>
      <w:r w:rsidR="00262CDB" w:rsidRPr="00D40950">
        <w:rPr>
          <w:szCs w:val="24"/>
        </w:rPr>
        <w:t xml:space="preserve"> В.Д.</w:t>
      </w:r>
    </w:p>
    <w:p w:rsidR="00C57595" w:rsidRPr="00D40950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D40950" w:rsidRDefault="00851B44" w:rsidP="00851B44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Перший заступник</w:t>
      </w:r>
    </w:p>
    <w:p w:rsidR="005E6560" w:rsidRPr="00D40950" w:rsidRDefault="00851B44" w:rsidP="005E6560">
      <w:pPr>
        <w:rPr>
          <w:szCs w:val="28"/>
        </w:rPr>
      </w:pPr>
      <w:r>
        <w:rPr>
          <w:color w:val="000000"/>
          <w:szCs w:val="28"/>
        </w:rPr>
        <w:t>міського голови</w:t>
      </w:r>
      <w:r w:rsidR="005E6560" w:rsidRPr="00D40950">
        <w:rPr>
          <w:color w:val="000000"/>
          <w:szCs w:val="28"/>
        </w:rPr>
        <w:t xml:space="preserve">                                                      </w:t>
      </w:r>
      <w:r>
        <w:rPr>
          <w:color w:val="000000"/>
          <w:szCs w:val="28"/>
        </w:rPr>
        <w:t xml:space="preserve">                              </w:t>
      </w:r>
      <w:r w:rsidR="005E6560" w:rsidRPr="00D409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В.</w:t>
      </w:r>
      <w:proofErr w:type="spellStart"/>
      <w:r>
        <w:rPr>
          <w:color w:val="000000"/>
          <w:szCs w:val="28"/>
        </w:rPr>
        <w:t>ЛУКОВ</w:t>
      </w:r>
      <w:proofErr w:type="spellEnd"/>
    </w:p>
    <w:p w:rsidR="00C21FA4" w:rsidRPr="00D40950" w:rsidRDefault="00C21FA4" w:rsidP="00F014D9">
      <w:pPr>
        <w:sectPr w:rsidR="00C21FA4" w:rsidRPr="00D4095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D40950" w:rsidRDefault="00C21FA4" w:rsidP="00F014D9">
      <w:pPr>
        <w:sectPr w:rsidR="00C21FA4" w:rsidRPr="00D40950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D40950" w:rsidRDefault="00262CDB" w:rsidP="00262CDB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62CDB" w:rsidRPr="00D40950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ЗАТВЕРДЖЕНО</w:t>
      </w:r>
    </w:p>
    <w:p w:rsidR="00262CDB" w:rsidRPr="00D40950" w:rsidRDefault="00D75EDE" w:rsidP="00D75EDE">
      <w:pPr>
        <w:suppressAutoHyphens w:val="0"/>
        <w:spacing w:line="360" w:lineRule="auto"/>
        <w:ind w:left="7080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 xml:space="preserve">рішення виконкому </w:t>
      </w:r>
      <w:r w:rsidR="00262CDB" w:rsidRPr="00D40950">
        <w:rPr>
          <w:rFonts w:eastAsiaTheme="minorHAnsi"/>
          <w:szCs w:val="28"/>
        </w:rPr>
        <w:t xml:space="preserve"> міської ради</w:t>
      </w:r>
    </w:p>
    <w:p w:rsidR="00262CDB" w:rsidRPr="00D40950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від______________</w:t>
      </w:r>
    </w:p>
    <w:p w:rsidR="00262CDB" w:rsidRPr="00D40950" w:rsidRDefault="00262CDB" w:rsidP="00262CDB">
      <w:pPr>
        <w:suppressAutoHyphens w:val="0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№_____________</w:t>
      </w:r>
    </w:p>
    <w:p w:rsidR="00C93E65" w:rsidRPr="00D40950" w:rsidRDefault="00C93E65" w:rsidP="00CF13E2"/>
    <w:p w:rsidR="00CF13E2" w:rsidRPr="00D40950" w:rsidRDefault="00CF13E2" w:rsidP="00CF13E2"/>
    <w:p w:rsidR="004333DF" w:rsidRPr="00D40950" w:rsidRDefault="000C472C" w:rsidP="00C93E65">
      <w:pPr>
        <w:ind w:left="1134"/>
        <w:jc w:val="center"/>
      </w:pPr>
      <w:r w:rsidRPr="00D40950">
        <w:t xml:space="preserve">  </w:t>
      </w:r>
      <w:r w:rsidR="001754DB" w:rsidRPr="00AF6878">
        <w:t>Гуманітарна допомога</w:t>
      </w:r>
      <w:r w:rsidR="00262CDB" w:rsidRPr="00D40950">
        <w:t xml:space="preserve"> від</w:t>
      </w:r>
      <w:r w:rsidR="00A5560B" w:rsidRPr="00D40950">
        <w:t xml:space="preserve"> </w:t>
      </w:r>
      <w:proofErr w:type="spellStart"/>
      <w:r w:rsidR="0017544A" w:rsidRPr="00D40950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17544A" w:rsidRPr="00D40950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 </w:t>
      </w:r>
      <w:r w:rsidR="00262CDB" w:rsidRPr="00D40950">
        <w:t>для потреб Миколаївської міської територіальної громади</w:t>
      </w:r>
    </w:p>
    <w:p w:rsidR="00262CDB" w:rsidRPr="00D40950" w:rsidRDefault="00262CDB" w:rsidP="00C93E65">
      <w:pPr>
        <w:ind w:left="1134"/>
        <w:jc w:val="center"/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842"/>
        <w:gridCol w:w="850"/>
        <w:gridCol w:w="708"/>
        <w:gridCol w:w="994"/>
        <w:gridCol w:w="1165"/>
        <w:gridCol w:w="1953"/>
      </w:tblGrid>
      <w:tr w:rsidR="00801563" w:rsidRPr="00D40950" w:rsidTr="00293B5C">
        <w:trPr>
          <w:cantSplit/>
          <w:trHeight w:val="1274"/>
        </w:trPr>
        <w:tc>
          <w:tcPr>
            <w:tcW w:w="425" w:type="dxa"/>
            <w:shd w:val="clear" w:color="auto" w:fill="auto"/>
            <w:vAlign w:val="center"/>
          </w:tcPr>
          <w:p w:rsidR="00801563" w:rsidRPr="00D40950" w:rsidRDefault="00801563" w:rsidP="00D5057F">
            <w:pPr>
              <w:jc w:val="center"/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1563" w:rsidRPr="00D40950" w:rsidRDefault="00801563" w:rsidP="00D5057F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42" w:type="dxa"/>
            <w:vAlign w:val="center"/>
          </w:tcPr>
          <w:p w:rsidR="00801563" w:rsidRPr="00D40950" w:rsidRDefault="00801563" w:rsidP="00D5057F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eastAsia="ru-RU"/>
              </w:rPr>
              <w:t>Серійний номер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01563" w:rsidRPr="00D40950" w:rsidRDefault="00801563" w:rsidP="00801563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01563" w:rsidRPr="00D40950" w:rsidRDefault="00801563" w:rsidP="00801563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01563" w:rsidRPr="00D40950" w:rsidRDefault="00801563" w:rsidP="00293B5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1563" w:rsidRPr="00D40950" w:rsidRDefault="00801563" w:rsidP="00293B5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1953" w:type="dxa"/>
            <w:vAlign w:val="center"/>
          </w:tcPr>
          <w:p w:rsidR="00801563" w:rsidRPr="00D40950" w:rsidRDefault="00801563" w:rsidP="00293B5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</w:rPr>
              <w:t>Набувач</w:t>
            </w:r>
          </w:p>
        </w:tc>
      </w:tr>
      <w:tr w:rsidR="00801563" w:rsidRPr="00D40950" w:rsidTr="00D83815">
        <w:tc>
          <w:tcPr>
            <w:tcW w:w="425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52BF2" w:rsidRPr="00D52BF2" w:rsidRDefault="00D52BF2" w:rsidP="00D52BF2">
            <w:pPr>
              <w:rPr>
                <w:sz w:val="24"/>
                <w:szCs w:val="24"/>
              </w:rPr>
            </w:pPr>
            <w:r w:rsidRPr="00D52BF2">
              <w:rPr>
                <w:sz w:val="24"/>
                <w:szCs w:val="24"/>
              </w:rPr>
              <w:t>Генератор дизельний</w:t>
            </w:r>
          </w:p>
          <w:p w:rsidR="00801563" w:rsidRPr="00D52BF2" w:rsidRDefault="00D52BF2" w:rsidP="00D52B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EKV-DS-22E3/SY </w:t>
            </w:r>
          </w:p>
        </w:tc>
        <w:tc>
          <w:tcPr>
            <w:tcW w:w="1842" w:type="dxa"/>
          </w:tcPr>
          <w:p w:rsidR="00801563" w:rsidRPr="00D52BF2" w:rsidRDefault="00D52BF2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2BF2">
              <w:rPr>
                <w:sz w:val="24"/>
                <w:szCs w:val="24"/>
              </w:rPr>
              <w:t>38N0022221743</w:t>
            </w:r>
          </w:p>
        </w:tc>
        <w:tc>
          <w:tcPr>
            <w:tcW w:w="850" w:type="dxa"/>
            <w:shd w:val="clear" w:color="auto" w:fill="auto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52BF2" w:rsidRDefault="00D52BF2" w:rsidP="005955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801563" w:rsidRPr="00D52BF2" w:rsidRDefault="00D52BF2" w:rsidP="005955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165" w:type="dxa"/>
            <w:shd w:val="clear" w:color="auto" w:fill="auto"/>
          </w:tcPr>
          <w:p w:rsidR="00801563" w:rsidRPr="00D40950" w:rsidRDefault="00D52BF2" w:rsidP="0059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953" w:type="dxa"/>
          </w:tcPr>
          <w:p w:rsidR="00801563" w:rsidRPr="00D52BF2" w:rsidRDefault="00D52BF2" w:rsidP="00CF13E2">
            <w:pPr>
              <w:rPr>
                <w:sz w:val="24"/>
                <w:szCs w:val="24"/>
                <w:lang w:val="ru-RU"/>
              </w:rPr>
            </w:pPr>
            <w:r w:rsidRPr="00D52BF2">
              <w:rPr>
                <w:sz w:val="24"/>
                <w:szCs w:val="24"/>
                <w:lang w:val="ru-RU"/>
              </w:rPr>
              <w:t xml:space="preserve">КП </w:t>
            </w:r>
            <w:r w:rsidRPr="00D52BF2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«Міський інформаційно-обчислювальний центр»</w:t>
            </w:r>
          </w:p>
        </w:tc>
      </w:tr>
    </w:tbl>
    <w:p w:rsidR="00C93E65" w:rsidRPr="00D52BF2" w:rsidRDefault="00C93E65" w:rsidP="00C93E65">
      <w:pPr>
        <w:ind w:left="1134"/>
        <w:jc w:val="center"/>
        <w:rPr>
          <w:sz w:val="24"/>
          <w:szCs w:val="24"/>
          <w:lang w:val="ru-RU"/>
        </w:rPr>
      </w:pPr>
    </w:p>
    <w:sectPr w:rsidR="00C93E65" w:rsidRPr="00D52BF2" w:rsidSect="00AB4A75">
      <w:pgSz w:w="11906" w:h="16838"/>
      <w:pgMar w:top="1134" w:right="1701" w:bottom="1134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60"/>
    <w:rsid w:val="000063EF"/>
    <w:rsid w:val="00042529"/>
    <w:rsid w:val="000821D3"/>
    <w:rsid w:val="000A247A"/>
    <w:rsid w:val="000B2D25"/>
    <w:rsid w:val="000C472C"/>
    <w:rsid w:val="000C65B7"/>
    <w:rsid w:val="000D1110"/>
    <w:rsid w:val="000D7767"/>
    <w:rsid w:val="000E09FF"/>
    <w:rsid w:val="000E1238"/>
    <w:rsid w:val="00103DE1"/>
    <w:rsid w:val="00116DF6"/>
    <w:rsid w:val="001321D6"/>
    <w:rsid w:val="00134508"/>
    <w:rsid w:val="001518E2"/>
    <w:rsid w:val="0015417B"/>
    <w:rsid w:val="0017544A"/>
    <w:rsid w:val="001754DB"/>
    <w:rsid w:val="00180182"/>
    <w:rsid w:val="001839F8"/>
    <w:rsid w:val="001936FD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93B5C"/>
    <w:rsid w:val="002A1B71"/>
    <w:rsid w:val="002B6E56"/>
    <w:rsid w:val="002F71ED"/>
    <w:rsid w:val="00302027"/>
    <w:rsid w:val="00302E4E"/>
    <w:rsid w:val="003068F6"/>
    <w:rsid w:val="00314A83"/>
    <w:rsid w:val="00314AB3"/>
    <w:rsid w:val="00341153"/>
    <w:rsid w:val="00343364"/>
    <w:rsid w:val="003450FB"/>
    <w:rsid w:val="00350283"/>
    <w:rsid w:val="0035243E"/>
    <w:rsid w:val="00364C76"/>
    <w:rsid w:val="003664B0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1730B"/>
    <w:rsid w:val="00530DF5"/>
    <w:rsid w:val="00533C79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10156"/>
    <w:rsid w:val="00626AC2"/>
    <w:rsid w:val="00635911"/>
    <w:rsid w:val="00676F22"/>
    <w:rsid w:val="0068038D"/>
    <w:rsid w:val="006869E8"/>
    <w:rsid w:val="006C546B"/>
    <w:rsid w:val="006C6ACC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01563"/>
    <w:rsid w:val="008078DC"/>
    <w:rsid w:val="00832272"/>
    <w:rsid w:val="00851B44"/>
    <w:rsid w:val="0087190D"/>
    <w:rsid w:val="00871BA1"/>
    <w:rsid w:val="0089025B"/>
    <w:rsid w:val="008976C2"/>
    <w:rsid w:val="008B0A81"/>
    <w:rsid w:val="008F2D8F"/>
    <w:rsid w:val="008F39BF"/>
    <w:rsid w:val="008F43C8"/>
    <w:rsid w:val="0091587B"/>
    <w:rsid w:val="00920B05"/>
    <w:rsid w:val="00923529"/>
    <w:rsid w:val="0092730D"/>
    <w:rsid w:val="00937496"/>
    <w:rsid w:val="00952DC6"/>
    <w:rsid w:val="00971539"/>
    <w:rsid w:val="00977382"/>
    <w:rsid w:val="00992BDC"/>
    <w:rsid w:val="009B341D"/>
    <w:rsid w:val="009F7708"/>
    <w:rsid w:val="00A46C6B"/>
    <w:rsid w:val="00A5560B"/>
    <w:rsid w:val="00A607CE"/>
    <w:rsid w:val="00A61DDC"/>
    <w:rsid w:val="00A835BB"/>
    <w:rsid w:val="00A87F3E"/>
    <w:rsid w:val="00AA3E1B"/>
    <w:rsid w:val="00AB1463"/>
    <w:rsid w:val="00AB2791"/>
    <w:rsid w:val="00AB4A75"/>
    <w:rsid w:val="00AE5336"/>
    <w:rsid w:val="00AF0BEE"/>
    <w:rsid w:val="00AF64EB"/>
    <w:rsid w:val="00AF6878"/>
    <w:rsid w:val="00B03F37"/>
    <w:rsid w:val="00B0411C"/>
    <w:rsid w:val="00B10198"/>
    <w:rsid w:val="00B23C5A"/>
    <w:rsid w:val="00B2588D"/>
    <w:rsid w:val="00B25F60"/>
    <w:rsid w:val="00B267BC"/>
    <w:rsid w:val="00B26F75"/>
    <w:rsid w:val="00B27607"/>
    <w:rsid w:val="00B40CF2"/>
    <w:rsid w:val="00B728AE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243E"/>
    <w:rsid w:val="00CC2506"/>
    <w:rsid w:val="00CE0094"/>
    <w:rsid w:val="00CE0A78"/>
    <w:rsid w:val="00CF13E2"/>
    <w:rsid w:val="00CF1AC2"/>
    <w:rsid w:val="00D01EFF"/>
    <w:rsid w:val="00D30A98"/>
    <w:rsid w:val="00D315B3"/>
    <w:rsid w:val="00D31A7D"/>
    <w:rsid w:val="00D40950"/>
    <w:rsid w:val="00D5057F"/>
    <w:rsid w:val="00D52BF2"/>
    <w:rsid w:val="00D675F5"/>
    <w:rsid w:val="00D75EDE"/>
    <w:rsid w:val="00D80D64"/>
    <w:rsid w:val="00D83815"/>
    <w:rsid w:val="00D9450C"/>
    <w:rsid w:val="00DA10CA"/>
    <w:rsid w:val="00DA527B"/>
    <w:rsid w:val="00DE5F3B"/>
    <w:rsid w:val="00DF16EB"/>
    <w:rsid w:val="00DF70AD"/>
    <w:rsid w:val="00E10C61"/>
    <w:rsid w:val="00E20574"/>
    <w:rsid w:val="00E37E59"/>
    <w:rsid w:val="00E45D4A"/>
    <w:rsid w:val="00E526EB"/>
    <w:rsid w:val="00E637E3"/>
    <w:rsid w:val="00E70CB6"/>
    <w:rsid w:val="00E75193"/>
    <w:rsid w:val="00EC4501"/>
    <w:rsid w:val="00EC5645"/>
    <w:rsid w:val="00EC571D"/>
    <w:rsid w:val="00EE67AD"/>
    <w:rsid w:val="00EF17D6"/>
    <w:rsid w:val="00EF3CF4"/>
    <w:rsid w:val="00F014D9"/>
    <w:rsid w:val="00F0614F"/>
    <w:rsid w:val="00F213A8"/>
    <w:rsid w:val="00F4186C"/>
    <w:rsid w:val="00F558BD"/>
    <w:rsid w:val="00F60177"/>
    <w:rsid w:val="00F668AE"/>
    <w:rsid w:val="00F704A1"/>
    <w:rsid w:val="00F77750"/>
    <w:rsid w:val="00FA0E50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13</cp:revision>
  <cp:lastPrinted>2022-08-21T15:24:00Z</cp:lastPrinted>
  <dcterms:created xsi:type="dcterms:W3CDTF">2023-01-17T06:43:00Z</dcterms:created>
  <dcterms:modified xsi:type="dcterms:W3CDTF">2023-01-17T08:36:00Z</dcterms:modified>
</cp:coreProperties>
</file>